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环境税收政策及其实施战略</w:t>
      </w:r>
    </w:p>
    <w:p>
      <w:r>
        <w:rPr>
          <w:rFonts w:ascii="宋体" w:hAnsi="宋体" w:eastAsia="宋体"/>
          <w:sz w:val="24"/>
        </w:rPr>
        <w:t>王金南，葛察忠，高树婷，孙钢，赵越，于方，陈璃，蒋洪强，张德勇，周颖，龚辉文等编著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环境税收政策及其实施战略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王金南，葛察忠，高树婷，孙钢，赵越，于方，陈璃，蒋洪强，张德勇，周颖，龚辉文等编著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本书出售、求购地址：https://www.jiaokey.com/book/detail/11846549.html</w:t>
      </w:r>
    </w:p>
    <w:p>
      <w:r>
        <w:t>更多相关图书推荐：https://www.jiaokey.com</w:t>
      </w:r>
    </w:p>
    <w:p>
      <w:r>
        <w:t>王金南，葛察忠，高树婷，孙钢，赵越，于方，陈璃，蒋洪强，张德勇，周颖，龚辉文等编著 其他作品：https://www.jiaokey.com/tag/王金南，葛察忠，高树婷，孙钢，赵越，于方，陈璃，蒋洪强，张德勇，周颖，龚辉文等编著.html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关键词搜索：https://www.jiaokey.com/tag/环境税收政策及其实施战略.html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