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论语故事心解</w:t>
      </w:r>
    </w:p>
    <w:p>
      <w:r>
        <w:rPr>
          <w:rFonts w:ascii="宋体" w:hAnsi="宋体" w:eastAsia="宋体"/>
          <w:sz w:val="24"/>
        </w:rPr>
        <w:t>（日）下村湖人著；孔繁叶译；栗强疏评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论语故事心解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（日）下村湖人著；孔繁叶译；栗强疏评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本书出售、求购地址：https://www.jiaokey.com/book/detail/11845370.html</w:t>
      </w:r>
    </w:p>
    <w:p>
      <w:r>
        <w:t>更多相关图书推荐：https://www.jiaokey.com</w:t>
      </w:r>
    </w:p>
    <w:p>
      <w:r>
        <w:t>（日）下村湖人著；孔繁叶译；栗强疏评 其他作品：https://www.jiaokey.com/tag/（日）下村湖人著；孔繁叶译；栗强疏评.html</w:t>
      </w:r>
    </w:p>
    <w:p>
      <w:r>
        <w:t>北京：线装书局 出版图书：https://www.jiaokey.com/tag/北京：线装书局.html</w:t>
      </w:r>
    </w:p>
    <w:p>
      <w:r>
        <w:t>关键词搜索：https://www.jiaokey.com/tag/论语故事心解.html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