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存款合同司法解释实例释解</w:t>
      </w:r>
    </w:p>
    <w:p>
      <w:r>
        <w:rPr>
          <w:rFonts w:ascii="宋体" w:hAnsi="宋体" w:eastAsia="宋体"/>
          <w:sz w:val="24"/>
        </w:rPr>
        <w:t>黄松有主编；王玉宏撰写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存款合同司法解释实例释解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黄松有主编；王玉宏撰写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本书出售、求购地址：https://www.jiaokey.com/book/detail/11844115.html</w:t>
      </w:r>
    </w:p>
    <w:p>
      <w:r>
        <w:t>更多相关图书推荐：https://www.jiaokey.com</w:t>
      </w:r>
    </w:p>
    <w:p>
      <w:r>
        <w:t>黄松有主编；王玉宏撰写 其他作品：https://www.jiaokey.com/tag/黄松有主编；王玉宏撰写.html</w:t>
      </w:r>
    </w:p>
    <w:p>
      <w:r>
        <w:t>北京市：人民法院出版社 出版图书：https://www.jiaokey.com/tag/北京市：人民法院出版社.html</w:t>
      </w:r>
    </w:p>
    <w:p>
      <w:r>
        <w:t>关键词搜索：https://www.jiaokey.com/tag/存款合同司法解释实例释解.html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