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跨文化商务交流案例分析</w:t>
      </w:r>
    </w:p>
    <w:p>
      <w:r>
        <w:rPr>
          <w:rFonts w:ascii="宋体" w:hAnsi="宋体" w:eastAsia="宋体"/>
          <w:sz w:val="24"/>
        </w:rPr>
        <w:t>窦卫霖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跨文化商务交流案例分析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9787810788078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商业管理-公共关系学-案例-分析-商务工作-案例-分析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商业企业组织与管理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教育部人文社会科学研究2005年度规划项目“跨文化商务交流成败的案例研究及理论分析”课题成果。:本书主要内容：精神文化冲突、制度文化冲突、行为文化冲突。</w:t>
      </w:r>
    </w:p>
    <w:p/>
    <w:p>
      <w:r>
        <w:t>本书出售、求购地址：https://www.jiaokey.com/book/detail/11843459.html</w:t>
      </w:r>
    </w:p>
    <w:p>
      <w:r>
        <w:t>更多商业企业组织与管理图书推荐：https://www.jiaokey.com</w:t>
      </w:r>
    </w:p>
    <w:p>
      <w:r>
        <w:t>窦卫霖 其他作品：https://www.jiaokey.com/tag/窦卫霖.html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关键词搜索：https://www.jiaokey.com/tag/商业管理-公共关系学-案例-分析-商务工作-案例-分析.html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