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儿童易遭侵犯空间的分析及其对策</w:t>
      </w:r>
    </w:p>
    <w:p>
      <w:r>
        <w:rPr>
          <w:rFonts w:ascii="宋体" w:hAnsi="宋体" w:eastAsia="宋体"/>
          <w:sz w:val="24"/>
        </w:rPr>
        <w:t>（日）中村攻著；卡米力·肖开提，章俊华译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儿童易遭侵犯空间的分析及其对策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（日）中村攻著；卡米力·肖开提，章俊华译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本书出售、求购地址：https://www.jiaokey.com/book/detail/11842690.html</w:t>
      </w:r>
    </w:p>
    <w:p>
      <w:r>
        <w:t>更多相关图书推荐：https://www.jiaokey.com</w:t>
      </w:r>
    </w:p>
    <w:p>
      <w:r>
        <w:t>（日）中村攻著；卡米力·肖开提，章俊华译 其他作品：https://www.jiaokey.com/tag/（日）中村攻著；卡米力·肖开提，章俊华译.html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关键词搜索：https://www.jiaokey.com/tag/儿童易遭侵犯空间的分析及其对策.html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