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火与剑  下</w:t>
      </w:r>
    </w:p>
    <w:p>
      <w:r>
        <w:rPr>
          <w:rFonts w:ascii="宋体" w:hAnsi="宋体" w:eastAsia="宋体"/>
          <w:sz w:val="24"/>
        </w:rPr>
        <w:t>（波）亨·显克维奇著；易丽君，袁汉镕译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2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（波）亨·显克维奇著；易丽君，袁汉镕译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历史小说-波兰-现代-历史小说-长篇小说-波兰-现代-长篇小说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本书出售、求购地址：https://www.jiaokey.com/book/detail/11842292.html</w:t>
      </w:r>
    </w:p>
    <w:p>
      <w:r>
        <w:t>更多相关图书推荐：https://www.jiaokey.com</w:t>
      </w:r>
    </w:p>
    <w:p>
      <w:r>
        <w:t>（波）亨·显克维奇著；易丽君，袁汉镕译 其他作品：https://www.jiaokey.com/tag/（波）亨·显克维奇著；易丽君，袁汉镕译.html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关键词搜索：https://www.jiaokey.com/tag/历史小说-波兰-现代-历史小说-长篇小说-波兰-现代-长篇小说.html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