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公共标识与导视设计</w:t>
      </w:r>
    </w:p>
    <w:p>
      <w:r>
        <w:rPr>
          <w:rFonts w:ascii="宋体" w:hAnsi="宋体" w:eastAsia="宋体"/>
          <w:sz w:val="24"/>
        </w:rPr>
        <w:t>（西）马塔·塞拉茨（Marta Serrats）编；周刚，于风军，牛晓春译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公共标识与导视设计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（西）马塔·塞拉茨（Marta Serrats）编；周刚，于风军，牛晓春译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本书出售、求购地址：https://www.jiaokey.com/book/detail/11842114.html</w:t>
      </w:r>
    </w:p>
    <w:p>
      <w:r>
        <w:t>更多相关图书推荐：https://www.jiaokey.com</w:t>
      </w:r>
    </w:p>
    <w:p>
      <w:r>
        <w:t>（西）马塔·塞拉茨（Marta Serrats）编；周刚，于风军，牛晓春译 其他作品：https://www.jiaokey.com/tag/（西）马塔·塞拉茨（Marta Serrats）编；周刚，于风军，牛晓春译.html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关键词搜索：https://www.jiaokey.com/tag/公共标识与导视设计.html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