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欧盟法律体系</w:t>
      </w:r>
    </w:p>
    <w:p>
      <w:r>
        <w:rPr>
          <w:rFonts w:ascii="宋体" w:hAnsi="宋体" w:eastAsia="宋体"/>
          <w:sz w:val="24"/>
        </w:rPr>
        <w:t>（法）德尼·西蒙（Denys Simon）原著；王玉芳，李滨，赵海峰译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欧盟法律体系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（法）德尼·西蒙（Denys Simon）原著；王玉芳，李滨，赵海峰译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本书出售、求购地址：https://www.jiaokey.com/book/detail/11840354.html</w:t>
      </w:r>
    </w:p>
    <w:p>
      <w:r>
        <w:t>更多相关图书推荐：https://www.jiaokey.com</w:t>
      </w:r>
    </w:p>
    <w:p>
      <w:r>
        <w:t>（法）德尼·西蒙（Denys Simon）原著；王玉芳，李滨，赵海峰译 其他作品：https://www.jiaokey.com/tag/（法）德尼·西蒙（Denys Simon）原著；王玉芳，李滨，赵海峰译.html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关键词搜索：https://www.jiaokey.com/tag/欧盟法律体系.html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