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人民公社怎样管理固定资产和低值易耗品</w:t>
      </w:r>
    </w:p>
    <w:p>
      <w:r>
        <w:rPr>
          <w:rFonts w:ascii="宋体" w:hAnsi="宋体" w:eastAsia="宋体"/>
          <w:sz w:val="24"/>
        </w:rPr>
        <w:t>中国人民大学财政系四年级财务班集体编著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人民公社怎样管理固定资产和低值易耗品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中国人民大学财政系四年级财务班集体编著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本书出售、求购地址：https://www.jiaokey.com/book/detail/11838620.html</w:t>
      </w:r>
    </w:p>
    <w:p>
      <w:r>
        <w:t>更多相关图书推荐：https://www.jiaokey.com</w:t>
      </w:r>
    </w:p>
    <w:p>
      <w:r>
        <w:t>中国人民大学财政系四年级财务班集体编著 其他作品：https://www.jiaokey.com/tag/中国人民大学财政系四年级财务班集体编著.html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关键词搜索：https://www.jiaokey.com/tag/人民公社怎样管理固定资产和低值易耗品.html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