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微生物和池塘鱼产量的提高</w:t>
      </w:r>
    </w:p>
    <w:p>
      <w:r>
        <w:rPr>
          <w:rFonts w:ascii="宋体" w:hAnsi="宋体" w:eastAsia="宋体"/>
          <w:sz w:val="24"/>
        </w:rPr>
        <w:t>А.Г.罗吉娜著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微生物和池塘鱼产量的提高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А.Г.罗吉娜著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中国科学院上海水产研究所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本书出售、求购地址：https://www.jiaokey.com/book/detail/11832575.html</w:t>
      </w:r>
    </w:p>
    <w:p>
      <w:r>
        <w:t>更多相关图书推荐：https://www.jiaokey.com</w:t>
      </w:r>
    </w:p>
    <w:p>
      <w:r>
        <w:t>А.Г.罗吉娜著 其他作品：https://www.jiaokey.com/tag/А.Г.罗吉娜著.html</w:t>
      </w:r>
    </w:p>
    <w:p>
      <w:r>
        <w:t>中国科学院上海水产研究所 出版图书：https://www.jiaokey.com/tag/中国科学院上海水产研究所.html</w:t>
      </w:r>
    </w:p>
    <w:p>
      <w:r>
        <w:t>关键词搜索：https://www.jiaokey.com/tag/微生物和池塘鱼产量的提高.html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