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分水岭  环境伦理学的10个案例  第3版</w:t>
      </w:r>
    </w:p>
    <w:p>
      <w:r>
        <w:rPr>
          <w:rFonts w:ascii="宋体" w:hAnsi="宋体" w:eastAsia="宋体"/>
          <w:sz w:val="24"/>
        </w:rPr>
        <w:t>L.H.牛顿（Lisa H.Newton），C.K.迪林汉姆（Catherine K.Dillingham）著；吴晓东，翁端译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分水岭  环境伦理学的10个案例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L.H.牛顿（Lisa H.Newton），C.K.迪林汉姆（Catherine K.Dillingham）著；吴晓东，翁端译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本书出售、求购地址：https://www.jiaokey.com/book/detail/11831368.html</w:t>
      </w:r>
    </w:p>
    <w:p>
      <w:r>
        <w:t>更多相关图书推荐：https://www.jiaokey.com</w:t>
      </w:r>
    </w:p>
    <w:p>
      <w:r>
        <w:t>L.H.牛顿（Lisa H.Newton），C.K.迪林汉姆（Catherine K.Dillingham）著；吴晓东，翁端译 其他作品：https://www.jiaokey.com/tag/L.H.牛顿（Lisa H.Newton），C.K.迪林汉姆（Catherine K.Dillingham）著；吴晓东，翁端译.html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关键词搜索：https://www.jiaokey.com/tag/分水岭  环境伦理学的10个案例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