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创新40法 TRIZ创造性解决技术难题的法则</w:t>
      </w:r>
    </w:p>
    <w:p>
      <w:r>
        <w:rPr>
          <w:rFonts w:ascii="宋体" w:hAnsi="宋体" w:eastAsia="宋体"/>
          <w:sz w:val="24"/>
        </w:rPr>
        <w:t>（苏）阿奇舒勒著；范怡红，黄玉霖译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创新40法 TRIZ创造性解决技术难题的法则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（苏）阿奇舒勒著；范怡红，黄玉霖译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本书出售、求购地址：https://www.jiaokey.com/book/detail/11830682.html</w:t>
      </w:r>
    </w:p>
    <w:p>
      <w:r>
        <w:t>更多相关图书推荐：https://www.jiaokey.com</w:t>
      </w:r>
    </w:p>
    <w:p>
      <w:r>
        <w:t>（苏）阿奇舒勒著；范怡红，黄玉霖译 其他作品：https://www.jiaokey.com/tag/（苏）阿奇舒勒著；范怡红，黄玉霖译.html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关键词搜索：https://www.jiaokey.com/tag/创新40法 TRIZ创造性解决技术难题的法则.html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