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新企业破产法案例评析</w:t>
      </w:r>
    </w:p>
    <w:p>
      <w:r>
        <w:rPr>
          <w:rFonts w:ascii="宋体" w:hAnsi="宋体" w:eastAsia="宋体"/>
          <w:sz w:val="24"/>
        </w:rPr>
        <w:t>李国光主编；官晋东，刘鸣，许承光，于欣，王钢副主编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新企业破产法案例评析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李国光主编；官晋东，刘鸣，许承光，于欣，王钢副主编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本书出售、求购地址：https://www.jiaokey.com/book/detail/11826866.html</w:t>
      </w:r>
    </w:p>
    <w:p>
      <w:r>
        <w:t>更多相关图书推荐：https://www.jiaokey.com</w:t>
      </w:r>
    </w:p>
    <w:p>
      <w:r>
        <w:t>李国光主编；官晋东，刘鸣，许承光，于欣，王钢副主编 其他作品：https://www.jiaokey.com/tag/李国光主编；官晋东，刘鸣，许承光，于欣，王钢副主编.html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关键词搜索：https://www.jiaokey.com/tag/新企业破产法案例评析.html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