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黔产核桃木之性质</w:t>
      </w:r>
    </w:p>
    <w:p>
      <w:r>
        <w:rPr>
          <w:rFonts w:ascii="宋体" w:hAnsi="宋体" w:eastAsia="宋体"/>
          <w:sz w:val="24"/>
        </w:rPr>
        <w:t>余仲奎，黄鹏章著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黔产核桃木之性质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余仲奎，黄鹏章著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本书出售、求购地址：https://www.jiaokey.com/book/detail/11825665.html</w:t>
      </w:r>
    </w:p>
    <w:p>
      <w:r>
        <w:t>更多相关图书推荐：https://www.jiaokey.com</w:t>
      </w:r>
    </w:p>
    <w:p>
      <w:r>
        <w:t>余仲奎，黄鹏章著 其他作品：https://www.jiaokey.com/tag/余仲奎，黄鹏章著.html</w:t>
      </w:r>
    </w:p>
    <w:p>
      <w:r>
        <w:t>航空研究院 出版图书：https://www.jiaokey.com/tag/航空研究院.html</w:t>
      </w:r>
    </w:p>
    <w:p>
      <w:r>
        <w:t>关键词搜索：https://www.jiaokey.com/tag/黔产核桃木之性质.html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