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普通高等教育“十一五”规划教材  电力工程概论  （第二版）</w:t>
      </w:r>
    </w:p>
    <w:p>
      <w:r>
        <w:rPr>
          <w:rFonts w:ascii="宋体" w:hAnsi="宋体" w:eastAsia="宋体"/>
          <w:sz w:val="24"/>
        </w:rPr>
        <w:t>韦钢  张永健  陆剑锋  丁会凯编著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普通高等教育“十一五”规划教材  电力工程概论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韦钢  张永健  陆剑锋  丁会凯编著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本书出售、求购地址：https://www.jiaokey.com/book/detail/11824047.html</w:t>
      </w:r>
    </w:p>
    <w:p>
      <w:r>
        <w:t>更多相关图书推荐：https://www.jiaokey.com</w:t>
      </w:r>
    </w:p>
    <w:p>
      <w:r>
        <w:t>韦钢  张永健  陆剑锋  丁会凯编著 其他作品：https://www.jiaokey.com/tag/韦钢  张永健  陆剑锋  丁会凯编著.html</w:t>
      </w:r>
    </w:p>
    <w:p>
      <w:r>
        <w:t>中国电力出版社 出版图书：https://www.jiaokey.com/tag/中国电力出版社.html</w:t>
      </w:r>
    </w:p>
    <w:p>
      <w:r>
        <w:t>关键词搜索：https://www.jiaokey.com/tag/普通高等教育“十一五”规划教材  电力工程概论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