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审美价值的本质</w:t>
      </w:r>
    </w:p>
    <w:p>
      <w:r>
        <w:rPr>
          <w:rFonts w:ascii="宋体" w:hAnsi="宋体" w:eastAsia="宋体"/>
          <w:sz w:val="24"/>
        </w:rPr>
        <w:t>（爱沙尼亚）斯托洛维奇著；凌继尧译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审美价值的本质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（爱沙尼亚）斯托洛维奇著；凌继尧译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本书出售、求购地址：https://www.jiaokey.com/book/detail/11823540.html</w:t>
      </w:r>
    </w:p>
    <w:p>
      <w:r>
        <w:t>更多相关图书推荐：https://www.jiaokey.com</w:t>
      </w:r>
    </w:p>
    <w:p>
      <w:r>
        <w:t>（爱沙尼亚）斯托洛维奇著；凌继尧译 其他作品：https://www.jiaokey.com/tag/（爱沙尼亚）斯托洛维奇著；凌继尧译.html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关键词搜索：https://www.jiaokey.com/tag/审美价值的本质.html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