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经济犯罪立案·定罪·量刑标准</w:t>
      </w:r>
    </w:p>
    <w:p>
      <w:r>
        <w:rPr>
          <w:rFonts w:ascii="宋体" w:hAnsi="宋体" w:eastAsia="宋体"/>
          <w:sz w:val="24"/>
        </w:rPr>
        <w:t>根据刑法修正案（六）和最新司法解释全新编写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经济犯罪立案·定罪·量刑标准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根据刑法修正案（六）和最新司法解释全新编写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本书出售、求购地址：https://www.jiaokey.com/book/detail/11821002.html</w:t>
      </w:r>
    </w:p>
    <w:p>
      <w:r>
        <w:t>更多相关图书推荐：https://www.jiaokey.com</w:t>
      </w:r>
    </w:p>
    <w:p>
      <w:r>
        <w:t>根据刑法修正案（六）和最新司法解释全新编写 其他作品：https://www.jiaokey.com/tag/根据刑法修正案（六）和最新司法解释全新编写.html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关键词搜索：https://www.jiaokey.com/tag/经济犯罪立案·定罪·量刑标准.html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