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煤矿安全监察行政执法责任制实施与过错追究违法查处法律依据及处罚标准实用手册  第2卷</w:t>
      </w:r>
    </w:p>
    <w:p>
      <w:r>
        <w:rPr>
          <w:rFonts w:ascii="宋体" w:hAnsi="宋体" w:eastAsia="宋体"/>
          <w:sz w:val="24"/>
        </w:rPr>
        <w:t>马延峰主编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煤矿安全监察行政执法责任制实施与过错追究违法查处法律依据及处罚标准实用手册  第2卷</w:t>
            </w:r>
          </w:p>
        </w:tc>
      </w:tr>
      <w:tr>
        <w:tc>
          <w:tcPr>
            <w:tcW w:type="dxa" w:w="4320"/>
          </w:tcPr>
          <w:p>
            <w:r>
              <w:t>作者</w:t>
            </w:r>
          </w:p>
        </w:tc>
        <w:tc>
          <w:tcPr>
            <w:tcW w:type="dxa" w:w="4320"/>
          </w:tcPr>
          <w:p>
            <w:r>
              <w:t>马延峰主编</w:t>
            </w:r>
          </w:p>
        </w:tc>
      </w:tr>
      <w:tr>
        <w:tc>
          <w:tcPr>
            <w:tcW w:type="dxa" w:w="4320"/>
          </w:tcPr>
          <w:p>
            <w:r>
              <w:t>出版社</w:t>
            </w:r>
          </w:p>
        </w:tc>
        <w:tc>
          <w:tcPr>
            <w:tcW w:type="dxa" w:w="4320"/>
          </w:tcPr>
          <w:p>
            <w:r>
              <w:t>北京：中国科技文化出版社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722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本书出售、求购地址：https://www.jiaokey.com/book/detail/11820036.html</w:t>
      </w:r>
    </w:p>
    <w:p>
      <w:r>
        <w:t>更多相关图书推荐：https://www.jiaokey.com</w:t>
      </w:r>
    </w:p>
    <w:p>
      <w:r>
        <w:t>马延峰主编 其他作品：https://www.jiaokey.com/tag/马延峰主编.html</w:t>
      </w:r>
    </w:p>
    <w:p>
      <w:r>
        <w:t>北京：中国科技文化出版社 出版图书：https://www.jiaokey.com/tag/北京：中国科技文化出版社.html</w:t>
      </w:r>
    </w:p>
    <w:p>
      <w:r>
        <w:t>关键词搜索：https://www.jiaokey.com/tag/煤矿安全监察行政执法责任制实施与过错追究违法查处法律依据及处罚标准实用手册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