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中国乡村问题之分析与解决方案  上编</w:t>
      </w:r>
    </w:p>
    <w:p>
      <w:r>
        <w:rPr>
          <w:rFonts w:ascii="宋体" w:hAnsi="宋体" w:eastAsia="宋体"/>
          <w:sz w:val="24"/>
        </w:rPr>
        <w:t>茹春浦编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中国乡村问题之分析与解决方案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茹春浦编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北平震东印书馆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本书出售、求购地址：https://www.jiaokey.com/book/detail/11817417.html</w:t>
      </w:r>
    </w:p>
    <w:p>
      <w:r>
        <w:t>更多相关图书推荐：https://www.jiaokey.com</w:t>
      </w:r>
    </w:p>
    <w:p>
      <w:r>
        <w:t>茹春浦编 其他作品：https://www.jiaokey.com/tag/茹春浦编.html</w:t>
      </w:r>
    </w:p>
    <w:p>
      <w:r>
        <w:t>北平震东印书馆 出版图书：https://www.jiaokey.com/tag/北平震东印书馆.html</w:t>
      </w:r>
    </w:p>
    <w:p>
      <w:r>
        <w:t>关键词搜索：https://www.jiaokey.com/tag/中国乡村问题之分析与解决方案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