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中国石油金融战略体系构建及风险管理</w:t>
      </w:r>
    </w:p>
    <w:p>
      <w:r>
        <w:rPr>
          <w:rFonts w:ascii="宋体" w:hAnsi="宋体" w:eastAsia="宋体"/>
          <w:sz w:val="24"/>
        </w:rPr>
        <w:t>黄运成，马卫锋，李畅编著（中国证券监督管理委员会期货部）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中国石油金融战略体系构建及风险管理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黄运成，马卫锋，李畅编著（中国证券监督管理委员会期货部）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本书出售、求购地址：https://www.jiaokey.com/book/detail/11810786.html</w:t>
      </w:r>
    </w:p>
    <w:p>
      <w:r>
        <w:t>更多相关图书推荐：https://www.jiaokey.com</w:t>
      </w:r>
    </w:p>
    <w:p>
      <w:r>
        <w:t>黄运成，马卫锋，李畅编著（中国证券监督管理委员会期货部） 其他作品：https://www.jiaokey.com/tag/黄运成，马卫锋，李畅编著（中国证券监督管理委员会期货部）.html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关键词搜索：https://www.jiaokey.com/tag/中国石油金融战略体系构建及风险管理.html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