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广告新思维</w:t>
      </w:r>
    </w:p>
    <w:p>
      <w:r>
        <w:rPr>
          <w:rFonts w:ascii="宋体" w:hAnsi="宋体" w:eastAsia="宋体"/>
          <w:sz w:val="24"/>
        </w:rPr>
        <w:t>（南非）埃里克·杜·普莱希斯（Erik Du Plessis）著；李子，李颖，刘壤译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（南非）埃里克·杜·普莱希斯（Erik Du Plessis）著；李子，李颖，刘壤译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本书出售、求购地址：https://www.jiaokey.com/book/detail/11805470.html</w:t>
      </w:r>
    </w:p>
    <w:p>
      <w:r>
        <w:t>更多相关图书推荐：https://www.jiaokey.com</w:t>
      </w:r>
    </w:p>
    <w:p>
      <w:r>
        <w:t>（南非）埃里克·杜·普莱希斯（Erik Du Plessis）著；李子，李颖，刘壤译 其他作品：https://www.jiaokey.com/tag/（南非）埃里克·杜·普莱希斯（Erik Du Plessis）著；李子，李颖，刘壤译.html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