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洛阳考古集成  原始社会卷</w:t>
      </w:r>
    </w:p>
    <w:p>
      <w:r>
        <w:rPr>
          <w:rFonts w:ascii="宋体" w:hAnsi="宋体" w:eastAsia="宋体"/>
          <w:sz w:val="24"/>
        </w:rPr>
        <w:t>洛阳师范学院河洛文化国际研究中心编；杨作龙，毛阳光（卷）主编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洛阳考古集成  原始社会卷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洛阳师范学院河洛文化国际研究中心编；杨作龙，毛阳光（卷）主编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本书出售、求购地址：https://www.jiaokey.com/book/detail/11805331.html</w:t>
      </w:r>
    </w:p>
    <w:p>
      <w:r>
        <w:t>更多相关图书推荐：https://www.jiaokey.com</w:t>
      </w:r>
    </w:p>
    <w:p>
      <w:r>
        <w:t>洛阳师范学院河洛文化国际研究中心编；杨作龙，毛阳光（卷）主编 其他作品：https://www.jiaokey.com/tag/洛阳师范学院河洛文化国际研究中心编；杨作龙，毛阳光（卷）主编.html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关键词搜索：https://www.jiaokey.com/tag/洛阳考古集成  原始社会卷.html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