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社会主义谷物业配置</w:t>
      </w:r>
    </w:p>
    <w:p>
      <w:r>
        <w:rPr>
          <w:rFonts w:ascii="宋体" w:hAnsi="宋体" w:eastAsia="宋体"/>
          <w:sz w:val="24"/>
        </w:rPr>
        <w:t>（苏）拉普切夫（И.Д.Лаптев）著；毛士田，李鹤亭译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社会主义谷物业配置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（苏）拉普切夫（И.Д.Лаптев）著；毛士田，李鹤亭译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本书出售、求购地址：https://www.jiaokey.com/book/detail/11804971.html</w:t>
      </w:r>
    </w:p>
    <w:p>
      <w:r>
        <w:t>更多相关图书推荐：https://www.jiaokey.com</w:t>
      </w:r>
    </w:p>
    <w:p>
      <w:r>
        <w:t>（苏）拉普切夫（И.Д.Лаптев）著；毛士田，李鹤亭译 其他作品：https://www.jiaokey.com/tag/（苏）拉普切夫（И.Д.Лаптев）著；毛士田，李鹤亭译.html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关键词搜索：https://www.jiaokey.com/tag/社会主义谷物业配置.html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