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互联网的理性与秩序  网络侵权法律适用与典型案例精析</w:t>
      </w:r>
    </w:p>
    <w:p>
      <w:r>
        <w:rPr>
          <w:rFonts w:ascii="宋体" w:hAnsi="宋体" w:eastAsia="宋体"/>
          <w:sz w:val="24"/>
        </w:rPr>
        <w:t>靳学军，宋鱼水主编；北京市海淀区人民法院知识产权审判庭编著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互联网的理性与秩序  网络侵权法律适用与典型案例精析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靳学军，宋鱼水主编；北京市海淀区人民法院知识产权审判庭编著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本书出售、求购地址：https://www.jiaokey.com/book/detail/11795854.html</w:t>
      </w:r>
    </w:p>
    <w:p>
      <w:r>
        <w:t>更多相关图书推荐：https://www.jiaokey.com</w:t>
      </w:r>
    </w:p>
    <w:p>
      <w:r>
        <w:t>靳学军，宋鱼水主编；北京市海淀区人民法院知识产权审判庭编著 其他作品：https://www.jiaokey.com/tag/靳学军，宋鱼水主编；北京市海淀区人民法院知识产权审判庭编著.html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关键词搜索：https://www.jiaokey.com/tag/互联网的理性与秩序  网络侵权法律适用与典型案例精析.html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