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20世纪科学大师与科学大事  上</w:t>
      </w:r>
    </w:p>
    <w:p>
      <w:r>
        <w:rPr>
          <w:rFonts w:ascii="宋体" w:hAnsi="宋体" w:eastAsia="宋体"/>
          <w:sz w:val="24"/>
        </w:rPr>
        <w:t>周光召主编；单玉泉文；庾东海绘画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20世纪科学大师与科学大事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周光召主编；单玉泉文；庾东海绘画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本书出售、求购地址：https://www.jiaokey.com/book/detail/11794889.html</w:t>
      </w:r>
    </w:p>
    <w:p>
      <w:r>
        <w:t>更多相关图书推荐：https://www.jiaokey.com</w:t>
      </w:r>
    </w:p>
    <w:p>
      <w:r>
        <w:t>周光召主编；单玉泉文；庾东海绘画 其他作品：https://www.jiaokey.com/tag/周光召主编；单玉泉文；庾东海绘画.html</w:t>
      </w:r>
    </w:p>
    <w:p>
      <w:r>
        <w:t>南宁：广西接力出版社 出版图书：https://www.jiaokey.com/tag/南宁：广西接力出版社.html</w:t>
      </w:r>
    </w:p>
    <w:p>
      <w:r>
        <w:t>关键词搜索：https://www.jiaokey.com/tag/20世纪科学大师与科学大事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