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木杆及横木浸注法</w:t>
      </w:r>
    </w:p>
    <w:p>
      <w:r>
        <w:rPr>
          <w:rFonts w:ascii="宋体" w:hAnsi="宋体" w:eastAsia="宋体"/>
          <w:sz w:val="24"/>
        </w:rPr>
        <w:t>尼卡诺洛娃著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木杆及横木浸注法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尼卡诺洛娃著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中央人民政府邮电部出版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本书出售、求购地址：https://www.jiaokey.com/book/detail/11793184.html</w:t>
      </w:r>
    </w:p>
    <w:p>
      <w:r>
        <w:t>更多相关图书推荐：https://www.jiaokey.com</w:t>
      </w:r>
    </w:p>
    <w:p>
      <w:r>
        <w:t>尼卡诺洛娃著 其他作品：https://www.jiaokey.com/tag/尼卡诺洛娃著.html</w:t>
      </w:r>
    </w:p>
    <w:p>
      <w:r>
        <w:t>中央人民政府邮电部出版 出版图书：https://www.jiaokey.com/tag/中央人民政府邮电部出版.html</w:t>
      </w:r>
    </w:p>
    <w:p>
      <w:r>
        <w:t>关键词搜索：https://www.jiaokey.com/tag/木杆及横木浸注法.html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