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综合新美术  1  第2版</w:t>
      </w:r>
    </w:p>
    <w:p>
      <w:r>
        <w:rPr>
          <w:rFonts w:ascii="宋体" w:hAnsi="宋体" w:eastAsia="宋体"/>
          <w:sz w:val="24"/>
        </w:rPr>
        <w:t>费新我，徐百平，沙梦蝶等编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综合新美术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费新我，徐百平，沙梦蝶等编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本书出售、求购地址：https://www.jiaokey.com/book/detail/11792884.html</w:t>
      </w:r>
    </w:p>
    <w:p>
      <w:r>
        <w:t>更多相关图书推荐：https://www.jiaokey.com</w:t>
      </w:r>
    </w:p>
    <w:p>
      <w:r>
        <w:t>费新我，徐百平，沙梦蝶等编 其他作品：https://www.jiaokey.com/tag/费新我，徐百平，沙梦蝶等编.html</w:t>
      </w:r>
    </w:p>
    <w:p>
      <w:r>
        <w:t>万叶书店 出版图书：https://www.jiaokey.com/tag/万叶书店.html</w:t>
      </w:r>
    </w:p>
    <w:p>
      <w:r>
        <w:t>关键词搜索：https://www.jiaokey.com/tag/综合新美术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