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不同生育期水稻形态诊断</w:t>
      </w:r>
    </w:p>
    <w:p>
      <w:r>
        <w:rPr>
          <w:rFonts w:ascii="宋体" w:hAnsi="宋体" w:eastAsia="宋体"/>
          <w:sz w:val="24"/>
        </w:rPr>
        <w:t>（日）松岛省三，（日）角田公正著；陈炜钦译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不同生育期水稻形态诊断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（日）松岛省三，（日）角田公正著；陈炜钦译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本书出售、求购地址：https://www.jiaokey.com/book/detail/11789580.html</w:t>
      </w:r>
    </w:p>
    <w:p>
      <w:r>
        <w:t>更多相关图书推荐：https://www.jiaokey.com</w:t>
      </w:r>
    </w:p>
    <w:p>
      <w:r>
        <w:t>（日）松岛省三，（日）角田公正著；陈炜钦译 其他作品：https://www.jiaokey.com/tag/（日）松岛省三，（日）角田公正著；陈炜钦译.html</w:t>
      </w:r>
    </w:p>
    <w:p>
      <w:r>
        <w:t>广东省科学技术情报研究所 出版图书：https://www.jiaokey.com/tag/广东省科学技术情报研究所.html</w:t>
      </w:r>
    </w:p>
    <w:p>
      <w:r>
        <w:t>关键词搜索：https://www.jiaokey.com/tag/不同生育期水稻形态诊断.html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