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苏联民间故事集之三  黄金杯</w:t>
      </w:r>
    </w:p>
    <w:p>
      <w:r>
        <w:rPr>
          <w:rFonts w:ascii="宋体" w:hAnsi="宋体" w:eastAsia="宋体"/>
          <w:sz w:val="24"/>
        </w:rPr>
        <w:t>布拉托夫编；库兹列佐夫插图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苏联民间故事集之三  黄金杯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布拉托夫编；库兹列佐夫插图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本书出售、求购地址：https://www.jiaokey.com/book/detail/11788998.html</w:t>
      </w:r>
    </w:p>
    <w:p>
      <w:r>
        <w:t>更多相关图书推荐：https://www.jiaokey.com</w:t>
      </w:r>
    </w:p>
    <w:p>
      <w:r>
        <w:t>布拉托夫编；库兹列佐夫插图 其他作品：https://www.jiaokey.com/tag/布拉托夫编；库兹列佐夫插图.html</w:t>
      </w:r>
    </w:p>
    <w:p>
      <w:r>
        <w:t>泥土社 出版图书：https://www.jiaokey.com/tag/泥土社.html</w:t>
      </w:r>
    </w:p>
    <w:p>
      <w:r>
        <w:t>关键词搜索：https://www.jiaokey.com/tag/苏联民间故事集之三  黄金杯.html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