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怎样培养学生的实际活动  第2版</w:t>
      </w:r>
    </w:p>
    <w:p>
      <w:r>
        <w:rPr>
          <w:rFonts w:ascii="宋体" w:hAnsi="宋体" w:eastAsia="宋体"/>
          <w:sz w:val="24"/>
        </w:rPr>
        <w:t>加拉士尼阔夫著；张蓝田译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怎样培养学生的实际活动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加拉士尼阔夫著；张蓝田译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本书出售、求购地址：https://www.jiaokey.com/book/detail/11788769.html</w:t>
      </w:r>
    </w:p>
    <w:p>
      <w:r>
        <w:t>更多相关图书推荐：https://www.jiaokey.com</w:t>
      </w:r>
    </w:p>
    <w:p>
      <w:r>
        <w:t>加拉士尼阔夫著；张蓝田译 其他作品：https://www.jiaokey.com/tag/加拉士尼阔夫著；张蓝田译.html</w:t>
      </w:r>
    </w:p>
    <w:p>
      <w:r>
        <w:t>正风出版社 出版图书：https://www.jiaokey.com/tag/正风出版社.html</w:t>
      </w:r>
    </w:p>
    <w:p>
      <w:r>
        <w:t>关键词搜索：https://www.jiaokey.com/tag/怎样培养学生的实际活动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