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文学、艺术  武松锄奸  秦腔、梆子</w:t>
      </w:r>
    </w:p>
    <w:p>
      <w:r>
        <w:rPr>
          <w:rFonts w:ascii="宋体" w:hAnsi="宋体" w:eastAsia="宋体"/>
          <w:sz w:val="24"/>
        </w:rPr>
        <w:t>白雨编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文学、艺术  武松锄奸  秦腔、梆子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北京宝文堂书店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本书出售、求购地址：https://www.jiaokey.com/book/detail/11788589.html</w:t>
      </w:r>
    </w:p>
    <w:p>
      <w:r>
        <w:t>更多相关图书推荐：https://www.jiaokey.com</w:t>
      </w:r>
    </w:p>
    <w:p>
      <w:r>
        <w:t>白雨编 其他作品：https://www.jiaokey.com/tag/白雨编.html</w:t>
      </w:r>
    </w:p>
    <w:p>
      <w:r>
        <w:t>北京宝文堂书店 出版图书：https://www.jiaokey.com/tag/北京宝文堂书店.html</w:t>
      </w:r>
    </w:p>
    <w:p>
      <w:r>
        <w:t>关键词搜索：https://www.jiaokey.com/tag/文学、艺术  武松锄奸  秦腔、梆子.html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