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把胜利安排停当  第2版</w:t>
      </w:r>
    </w:p>
    <w:p>
      <w:r>
        <w:rPr>
          <w:rFonts w:ascii="宋体" w:hAnsi="宋体" w:eastAsia="宋体"/>
          <w:sz w:val="24"/>
        </w:rPr>
        <w:t>李耐因等著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把胜利安排停当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李耐因等著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新华书店华东总分店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本书出售、求购地址：https://www.jiaokey.com/book/detail/11788565.html</w:t>
      </w:r>
    </w:p>
    <w:p>
      <w:r>
        <w:t>更多相关图书推荐：https://www.jiaokey.com</w:t>
      </w:r>
    </w:p>
    <w:p>
      <w:r>
        <w:t>李耐因等著 其他作品：https://www.jiaokey.com/tag/李耐因等著.html</w:t>
      </w:r>
    </w:p>
    <w:p>
      <w:r>
        <w:t>新华书店华东总分店 出版图书：https://www.jiaokey.com/tag/新华书店华东总分店.html</w:t>
      </w:r>
    </w:p>
    <w:p>
      <w:r>
        <w:t>关键词搜索：https://www.jiaokey.com/tag/把胜利安排停当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