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“五反”运动后私营企业的新气象</w:t>
      </w:r>
    </w:p>
    <w:p>
      <w:r>
        <w:rPr>
          <w:rFonts w:ascii="宋体" w:hAnsi="宋体" w:eastAsia="宋体"/>
          <w:sz w:val="24"/>
        </w:rPr>
        <w:t>十月出版社编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“五反”运动后私营企业的新气象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本书出售、求购地址：https://www.jiaokey.com/book/detail/11788191.html</w:t>
      </w:r>
    </w:p>
    <w:p>
      <w:r>
        <w:t>更多相关图书推荐：https://www.jiaokey.com</w:t>
      </w:r>
    </w:p>
    <w:p>
      <w:r>
        <w:t>十月出版社编 其他作品：https://www.jiaokey.com/tag/十月出版社编.html</w:t>
      </w:r>
    </w:p>
    <w:p>
      <w:r>
        <w:t>十月出版社 出版图书：https://www.jiaokey.com/tag/十月出版社.html</w:t>
      </w:r>
    </w:p>
    <w:p>
      <w:r>
        <w:t>关键词搜索：https://www.jiaokey.com/tag/“五反”运动后私营企业的新气象.html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