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充分反映改革，为两个文明建设服务  编纂城市志需要研究的几个问题</w:t>
      </w:r>
    </w:p>
    <w:p>
      <w:r>
        <w:rPr>
          <w:rFonts w:ascii="宋体" w:hAnsi="宋体" w:eastAsia="宋体"/>
          <w:sz w:val="24"/>
        </w:rPr>
        <w:t>陆天虹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充分反映改革，为两个文明建设服务  编纂城市志需要研究的几个问题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本书出售、求购地址：https://www.jiaokey.com/book/detail/11786969.html</w:t>
      </w:r>
    </w:p>
    <w:p>
      <w:r>
        <w:t>更多相关图书推荐：https://www.jiaokey.com</w:t>
      </w:r>
    </w:p>
    <w:p>
      <w:r>
        <w:t>陆天虹 其他作品：https://www.jiaokey.com/tag/陆天虹.html</w:t>
      </w:r>
    </w:p>
    <w:p>
      <w:r>
        <w:t>关键词搜索：https://www.jiaokey.com/tag/充分反映改革，为两个文明建设服务  编纂城市志需要研究的几个问题.html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