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巴洛克建筑风格  1600-1750年的建筑艺术</w:t>
      </w:r>
    </w:p>
    <w:p>
      <w:r>
        <w:rPr>
          <w:rFonts w:ascii="宋体" w:hAnsi="宋体" w:eastAsia="宋体"/>
          <w:sz w:val="24"/>
        </w:rPr>
        <w:t>（法）弗雷德里克·达萨（Frederic Dassas）原著；方仁杰，金恩林译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巴洛克建筑风格  1600-1750年的建筑艺术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（法）弗雷德里克·达萨（Frederic Dassas）原著；方仁杰，金恩林译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本书出售、求购地址：https://www.jiaokey.com/book/detail/11783605.html</w:t>
      </w:r>
    </w:p>
    <w:p>
      <w:r>
        <w:t>更多相关图书推荐：https://www.jiaokey.com</w:t>
      </w:r>
    </w:p>
    <w:p>
      <w:r>
        <w:t>（法）弗雷德里克·达萨（Frederic Dassas）原著；方仁杰，金恩林译 其他作品：https://www.jiaokey.com/tag/（法）弗雷德里克·达萨（Frederic Dassas）原著；方仁杰，金恩林译.html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关键词搜索：https://www.jiaokey.com/tag/巴洛克建筑风格  1600-1750年的建筑艺术.html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