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消灭农作物病虫害</w:t>
      </w:r>
    </w:p>
    <w:p>
      <w:r>
        <w:rPr>
          <w:rFonts w:ascii="宋体" w:hAnsi="宋体" w:eastAsia="宋体"/>
          <w:sz w:val="24"/>
        </w:rPr>
        <w:t>（苏联）尼基弗洛夫著；郑州大学，外语教研室译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消灭农作物病虫害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（苏联）尼基弗洛夫著；郑州大学，外语教研室译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本书出售、求购地址：https://www.jiaokey.com/book/detail/11782938.html</w:t>
      </w:r>
    </w:p>
    <w:p>
      <w:r>
        <w:t>更多相关图书推荐：https://www.jiaokey.com</w:t>
      </w:r>
    </w:p>
    <w:p>
      <w:r>
        <w:t>（苏联）尼基弗洛夫著；郑州大学，外语教研室译 其他作品：https://www.jiaokey.com/tag/（苏联）尼基弗洛夫著；郑州大学，外语教研室译.html</w:t>
      </w:r>
    </w:p>
    <w:p>
      <w:r>
        <w:t>关键词搜索：https://www.jiaokey.com/tag/消灭农作物病虫害.html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