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地方债问题研究</w:t>
      </w:r>
    </w:p>
    <w:p>
      <w:r>
        <w:rPr>
          <w:rFonts w:ascii="宋体" w:hAnsi="宋体" w:eastAsia="宋体"/>
          <w:sz w:val="24"/>
        </w:rPr>
        <w:t>（日）土居主朗，魏加宁主编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（日）土居主朗，魏加宁主编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本书出售、求购地址：https://www.jiaokey.com/book/detail/11782868.html</w:t>
      </w:r>
    </w:p>
    <w:p>
      <w:r>
        <w:t>更多相关图书推荐：https://www.jiaokey.com</w:t>
      </w:r>
    </w:p>
    <w:p>
      <w:r>
        <w:t>（日）土居主朗，魏加宁主编 其他作品：https://www.jiaokey.com/tag/（日）土居主朗，魏加宁主编.html</w:t>
      </w:r>
    </w:p>
    <w:p>
      <w:r>
        <w:t>关键词搜索：https://www.jiaokey.com/tag/地方债问题研究.html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