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棉织手册</w:t>
      </w:r>
    </w:p>
    <w:p>
      <w:r>
        <w:rPr>
          <w:rFonts w:ascii="宋体" w:hAnsi="宋体" w:eastAsia="宋体"/>
          <w:sz w:val="24"/>
        </w:rPr>
        <w:t>（苏）鲍罗亭（А.Н.Бородин）著；中国纺织工程学会上海分会俄文棉织小组译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（苏）鲍罗亭（А.Н.Бородин）著；中国纺织工程学会上海分会俄文棉织小组译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本书出售、求购地址：https://www.jiaokey.com/book/detail/11780420.html</w:t>
      </w:r>
    </w:p>
    <w:p>
      <w:r>
        <w:t>更多相关图书推荐：https://www.jiaokey.com</w:t>
      </w:r>
    </w:p>
    <w:p>
      <w:r>
        <w:t>（苏）鲍罗亭（А.Н.Бородин）著；中国纺织工程学会上海分会俄文棉织小组译 其他作品：https://www.jiaokey.com/tag/（苏）鲍罗亭（А.Н.Бородин）著；中国纺织工程学会上海分会俄文棉织小组译.html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