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人力冲击工具凿井法</w:t>
      </w:r>
    </w:p>
    <w:p>
      <w:r>
        <w:rPr>
          <w:rFonts w:ascii="宋体" w:hAnsi="宋体" w:eastAsia="宋体"/>
          <w:sz w:val="24"/>
        </w:rPr>
        <w:t>吉林省水利厅农田水利处编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人力冲击工具凿井法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吉林省水利厅农田水利处编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本书出售、求购地址：https://www.jiaokey.com/book/detail/11779860.html</w:t>
      </w:r>
    </w:p>
    <w:p>
      <w:r>
        <w:t>更多相关图书推荐：https://www.jiaokey.com</w:t>
      </w:r>
    </w:p>
    <w:p>
      <w:r>
        <w:t>吉林省水利厅农田水利处编 其他作品：https://www.jiaokey.com/tag/吉林省水利厅农田水利处编.html</w:t>
      </w:r>
    </w:p>
    <w:p>
      <w:r>
        <w:t>北京：水利电力 出版图书：https://www.jiaokey.com/tag/北京：水利电力.html</w:t>
      </w:r>
    </w:p>
    <w:p>
      <w:r>
        <w:t>关键词搜索：https://www.jiaokey.com/tag/人力冲击工具凿井法.html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