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2006年．第2集：总第18集</w:t>
      </w:r>
    </w:p>
    <w:p>
      <w:r>
        <w:rPr>
          <w:rFonts w:ascii="宋体" w:hAnsi="宋体" w:eastAsia="宋体"/>
          <w:sz w:val="24"/>
        </w:rPr>
        <w:t>最高人民法院行政庭编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2006年．第2集：总第18集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最高人民法院行政庭编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本书出售、求购地址：https://www.jiaokey.com/book/detail/11778784.html</w:t>
      </w:r>
    </w:p>
    <w:p>
      <w:r>
        <w:t>更多相关图书推荐：https://www.jiaokey.com</w:t>
      </w:r>
    </w:p>
    <w:p>
      <w:r>
        <w:t>最高人民法院行政庭编 其他作品：https://www.jiaokey.com/tag/最高人民法院行政庭编.html</w:t>
      </w:r>
    </w:p>
    <w:p>
      <w:r>
        <w:t>法律出版社 出版图书：https://www.jiaokey.com/tag/法律出版社.html</w:t>
      </w:r>
    </w:p>
    <w:p>
      <w:r>
        <w:t>关键词搜索：https://www.jiaokey.com/tag/行政执法与行政审判  2006年．第2集：总第18集.html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