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民用爆炸物品安全管理条例释义</w:t>
      </w:r>
    </w:p>
    <w:p>
      <w:r>
        <w:rPr>
          <w:rFonts w:ascii="宋体" w:hAnsi="宋体" w:eastAsia="宋体"/>
          <w:sz w:val="24"/>
        </w:rPr>
        <w:t>丁峰主编；王新建副主编；李欧，陈克伟，姜秀元编写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民用爆炸物品安全管理条例释义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丁峰主编；王新建副主编；李欧，陈克伟，姜秀元编写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本书出售、求购地址：https://www.jiaokey.com/book/detail/11776560.html</w:t>
      </w:r>
    </w:p>
    <w:p>
      <w:r>
        <w:t>更多相关图书推荐：https://www.jiaokey.com</w:t>
      </w:r>
    </w:p>
    <w:p>
      <w:r>
        <w:t>丁峰主编；王新建副主编；李欧，陈克伟，姜秀元编写 其他作品：https://www.jiaokey.com/tag/丁峰主编；王新建副主编；李欧，陈克伟，姜秀元编写.html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关键词搜索：https://www.jiaokey.com/tag/民用爆炸物品安全管理条例释义.html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