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现代财务分析理论与案例</w:t>
      </w:r>
    </w:p>
    <w:p>
      <w:r>
        <w:rPr>
          <w:rFonts w:ascii="宋体" w:hAnsi="宋体" w:eastAsia="宋体"/>
          <w:sz w:val="24"/>
        </w:rPr>
        <w:t>郝玉贵，吴君芝，谢杜林著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现代财务分析理论与案例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郝玉贵，吴君芝，谢杜林著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本书出售、求购地址：https://www.jiaokey.com/book/detail/11775259.html</w:t>
      </w:r>
    </w:p>
    <w:p>
      <w:r>
        <w:t>更多相关图书推荐：https://www.jiaokey.com</w:t>
      </w:r>
    </w:p>
    <w:p>
      <w:r>
        <w:t>郝玉贵，吴君芝，谢杜林著 其他作品：https://www.jiaokey.com/tag/郝玉贵，吴君芝，谢杜林著.html</w:t>
      </w:r>
    </w:p>
    <w:p>
      <w:r>
        <w:t>中国经济出版社 出版图书：https://www.jiaokey.com/tag/中国经济出版社.html</w:t>
      </w:r>
    </w:p>
    <w:p>
      <w:r>
        <w:t>关键词搜索：https://www.jiaokey.com/tag/现代财务分析理论与案例.html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