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湿地恢复手册  原则·技术与案例分析</w:t>
      </w:r>
    </w:p>
    <w:p>
      <w:r>
        <w:rPr>
          <w:rFonts w:ascii="宋体" w:hAnsi="宋体" w:eastAsia="宋体"/>
          <w:sz w:val="24"/>
        </w:rPr>
        <w:t>崔丽娟，艾思龙主编；国家林业局，易道环境规划设计有限公司编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湿地恢复手册  原则·技术与案例分析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崔丽娟，艾思龙主编；国家林业局，易道环境规划设计有限公司编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本书出售、求购地址：https://www.jiaokey.com/book/detail/11767475.html</w:t>
      </w:r>
    </w:p>
    <w:p>
      <w:r>
        <w:t>更多相关图书推荐：https://www.jiaokey.com</w:t>
      </w:r>
    </w:p>
    <w:p>
      <w:r>
        <w:t>崔丽娟，艾思龙主编；国家林业局，易道环境规划设计有限公司编 其他作品：https://www.jiaokey.com/tag/崔丽娟，艾思龙主编；国家林业局，易道环境规划设计有限公司编.html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关键词搜索：https://www.jiaokey.com/tag/湿地恢复手册  原则·技术与案例分析.html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