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农畜培育原理</w:t>
      </w:r>
    </w:p>
    <w:p>
      <w:r>
        <w:rPr>
          <w:rFonts w:ascii="宋体" w:hAnsi="宋体" w:eastAsia="宋体"/>
          <w:sz w:val="24"/>
        </w:rPr>
        <w:t>П.Л.普谢尼奇尼著；马宁，徐文超译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农畜培育原理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П.Л.普谢尼奇尼著；马宁，徐文超译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本书出售、求购地址：https://www.jiaokey.com/book/detail/11755335.html</w:t>
      </w:r>
    </w:p>
    <w:p>
      <w:r>
        <w:t>更多相关图书推荐：https://www.jiaokey.com</w:t>
      </w:r>
    </w:p>
    <w:p>
      <w:r>
        <w:t>П.Л.普谢尼奇尼著；马宁，徐文超译 其他作品：https://www.jiaokey.com/tag/П.Л.普谢尼奇尼著；马宁，徐文超译.html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关键词搜索：https://www.jiaokey.com/tag/农畜培育原理.html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