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阿斯卡尼品种细毛绵羊的育种工作</w:t>
      </w:r>
    </w:p>
    <w:p>
      <w:r>
        <w:rPr>
          <w:rFonts w:ascii="宋体" w:hAnsi="宋体" w:eastAsia="宋体"/>
          <w:sz w:val="24"/>
        </w:rPr>
        <w:t>Л.К.葛列宾院士，К.А.巴兹里柯夫，К.П.李图切夫著；吕循，兰斌，王和民译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阿斯卡尼品种细毛绵羊的育种工作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Л.К.葛列宾院士，К.А.巴兹里柯夫，К.П.李图切夫著；吕循，兰斌，王和民译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本书出售、求购地址：https://www.jiaokey.com/book/detail/11753587.html</w:t>
      </w:r>
    </w:p>
    <w:p>
      <w:r>
        <w:t>更多相关图书推荐：https://www.jiaokey.com</w:t>
      </w:r>
    </w:p>
    <w:p>
      <w:r>
        <w:t>Л.К.葛列宾院士，К.А.巴兹里柯夫，К.П.李图切夫著；吕循，兰斌，王和民译 其他作品：https://www.jiaokey.com/tag/Л.К.葛列宾院士，К.А.巴兹里柯夫，К.П.李图切夫著；吕循，兰斌，王和民译.html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关键词搜索：https://www.jiaokey.com/tag/阿斯卡尼品种细毛绵羊的育种工作.html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