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科斯特罗姆牛的培育</w:t>
      </w:r>
    </w:p>
    <w:p>
      <w:r>
        <w:rPr>
          <w:rFonts w:ascii="宋体" w:hAnsi="宋体" w:eastAsia="宋体"/>
          <w:sz w:val="24"/>
        </w:rPr>
        <w:t>С.И.施捷依曼著；陈效华译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科斯特罗姆牛的培育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С.И.施捷依曼著；陈效华译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本书出售、求购地址：https://www.jiaokey.com/book/detail/11753582.html</w:t>
      </w:r>
    </w:p>
    <w:p>
      <w:r>
        <w:t>更多相关图书推荐：https://www.jiaokey.com</w:t>
      </w:r>
    </w:p>
    <w:p>
      <w:r>
        <w:t>С.И.施捷依曼著；陈效华译 其他作品：https://www.jiaokey.com/tag/С.И.施捷依曼著；陈效华译.html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关键词搜索：https://www.jiaokey.com/tag/科斯特罗姆牛的培育.html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