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蔬菜和果实的贮藏原理</w:t>
      </w:r>
    </w:p>
    <w:p>
      <w:r>
        <w:rPr>
          <w:rFonts w:ascii="宋体" w:hAnsi="宋体" w:eastAsia="宋体"/>
          <w:sz w:val="24"/>
        </w:rPr>
        <w:t>（苏联）Б.А.鲁宾，Л.В.梅特里茨基著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蔬菜和果实的贮藏原理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（苏联）Б.А.鲁宾，Л.В.梅特里茨基著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本书出售、求购地址：https://www.jiaokey.com/book/detail/11753540.html</w:t>
      </w:r>
    </w:p>
    <w:p>
      <w:r>
        <w:t>更多相关图书推荐：https://www.jiaokey.com</w:t>
      </w:r>
    </w:p>
    <w:p>
      <w:r>
        <w:t>（苏联）Б.А.鲁宾，Л.В.梅特里茨基著 其他作品：https://www.jiaokey.com/tag/（苏联）Б.А.鲁宾，Л.В.梅特里茨基著.html</w:t>
      </w:r>
    </w:p>
    <w:p>
      <w:r>
        <w:t>科学技术出版社 出版图书：https://www.jiaokey.com/tag/科学技术出版社.html</w:t>
      </w:r>
    </w:p>
    <w:p>
      <w:r>
        <w:t>关键词搜索：https://www.jiaokey.com/tag/蔬菜和果实的贮藏原理.html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