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建筑工程综合机械化基本条例</w:t>
      </w:r>
    </w:p>
    <w:p>
      <w:r>
        <w:rPr>
          <w:rFonts w:ascii="宋体" w:hAnsi="宋体" w:eastAsia="宋体"/>
          <w:sz w:val="24"/>
        </w:rPr>
        <w:t>苏联部长会议国家建设委员会全苏施工组织和机械化科学研究院编；楼亚栋，钟祖德译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建筑工程综合机械化基本条例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苏联部长会议国家建设委员会全苏施工组织和机械化科学研究院编；楼亚栋，钟祖德译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本书出售、求购地址：https://www.jiaokey.com/book/detail/11752963.html</w:t>
      </w:r>
    </w:p>
    <w:p>
      <w:r>
        <w:t>更多相关图书推荐：https://www.jiaokey.com</w:t>
      </w:r>
    </w:p>
    <w:p>
      <w:r>
        <w:t>苏联部长会议国家建设委员会全苏施工组织和机械化科学研究院编；楼亚栋，钟祖德译 其他作品：https://www.jiaokey.com/tag/苏联部长会议国家建设委员会全苏施工组织和机械化科学研究院编；楼亚栋，钟祖德译.html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关键词搜索：https://www.jiaokey.com/tag/建筑工程综合机械化基本条例.html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