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单位预算机关的预算编制与执行</w:t>
      </w:r>
    </w:p>
    <w:p>
      <w:r>
        <w:rPr>
          <w:rFonts w:ascii="宋体" w:hAnsi="宋体" w:eastAsia="宋体"/>
          <w:sz w:val="24"/>
        </w:rPr>
        <w:t>符·敏钦斯基著；张维昌，申宗良译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单位预算机关的预算编制与执行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符·敏钦斯基著；张维昌，申宗良译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本书出售、求购地址：https://www.jiaokey.com/book/detail/11743242.html</w:t>
      </w:r>
    </w:p>
    <w:p>
      <w:r>
        <w:t>更多相关图书推荐：https://www.jiaokey.com</w:t>
      </w:r>
    </w:p>
    <w:p>
      <w:r>
        <w:t>符·敏钦斯基著；张维昌，申宗良译 其他作品：https://www.jiaokey.com/tag/符·敏钦斯基著；张维昌，申宗良译.html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关键词搜索：https://www.jiaokey.com/tag/单位预算机关的预算编制与执行.html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