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数码摄像技巧大全</w:t>
      </w:r>
    </w:p>
    <w:p>
      <w:r>
        <w:rPr>
          <w:rFonts w:ascii="宋体" w:hAnsi="宋体" w:eastAsia="宋体"/>
          <w:sz w:val="24"/>
        </w:rPr>
        <w:t>（美）托德·斯托弗（Todd Stauffer），（美）妮娜·帕里克（Nina Parikh）原著；王一多，崔薇译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（美）托德·斯托弗（Todd Stauffer），（美）妮娜·帕里克（Nina Parikh）原著；王一多，崔薇译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本书出售、求购地址：https://www.jiaokey.com/book/detail/11735530.html</w:t>
      </w:r>
    </w:p>
    <w:p>
      <w:r>
        <w:t>更多相关图书推荐：https://www.jiaokey.com</w:t>
      </w:r>
    </w:p>
    <w:p>
      <w:r>
        <w:t>（美）托德·斯托弗（Todd Stauffer），（美）妮娜·帕里克（Nina Parikh）原著；王一多，崔薇译 其他作品：https://www.jiaokey.com/tag/（美）托德·斯托弗（Todd Stauffer），（美）妮娜·帕里克（Nina Parikh）原著；王一多，崔薇译.html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关键词搜索：https://www.jiaokey.com/tag/数码摄像技巧大全.html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